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BC07DC">
      <w:pPr>
        <w:widowControl w:val="0"/>
        <w:spacing w:line="580" w:lineRule="exact"/>
        <w:ind w:firstLine="600" w:firstLineChars="200"/>
        <w:jc w:val="both"/>
        <w:rPr>
          <w:rFonts w:hint="eastAsia" w:ascii="宋体" w:hAnsi="宋体" w:eastAsia="宋体" w:cs="宋体"/>
          <w:kern w:val="2"/>
          <w:sz w:val="30"/>
          <w:szCs w:val="30"/>
          <w:lang w:val="en-US" w:eastAsia="en-US" w:bidi="ar-SA"/>
        </w:rPr>
      </w:pPr>
    </w:p>
    <w:p w14:paraId="29F9B107">
      <w:pPr>
        <w:widowControl w:val="0"/>
        <w:spacing w:line="580" w:lineRule="exact"/>
        <w:ind w:firstLine="600" w:firstLineChars="200"/>
        <w:jc w:val="both"/>
        <w:rPr>
          <w:rFonts w:hint="eastAsia" w:ascii="宋体" w:hAnsi="宋体" w:eastAsia="宋体" w:cs="宋体"/>
          <w:kern w:val="2"/>
          <w:sz w:val="30"/>
          <w:szCs w:val="30"/>
          <w:lang w:val="en-US" w:eastAsia="en-US" w:bidi="ar-SA"/>
        </w:rPr>
      </w:pPr>
    </w:p>
    <w:p w14:paraId="6A8E46AA">
      <w:pPr>
        <w:widowControl w:val="0"/>
        <w:spacing w:line="580" w:lineRule="exact"/>
        <w:ind w:firstLine="600" w:firstLineChars="200"/>
        <w:jc w:val="both"/>
        <w:rPr>
          <w:rFonts w:hint="eastAsia" w:ascii="宋体" w:hAnsi="宋体" w:eastAsia="宋体" w:cs="宋体"/>
          <w:kern w:val="2"/>
          <w:sz w:val="30"/>
          <w:szCs w:val="30"/>
          <w:lang w:val="en-US" w:eastAsia="en-US" w:bidi="ar-SA"/>
        </w:rPr>
      </w:pPr>
    </w:p>
    <w:p w14:paraId="65F25BA0">
      <w:pPr>
        <w:widowControl w:val="0"/>
        <w:spacing w:line="580" w:lineRule="exact"/>
        <w:ind w:firstLine="600" w:firstLineChars="200"/>
        <w:jc w:val="both"/>
        <w:rPr>
          <w:rFonts w:hint="eastAsia" w:ascii="宋体" w:hAnsi="宋体" w:eastAsia="宋体" w:cs="宋体"/>
          <w:kern w:val="2"/>
          <w:sz w:val="30"/>
          <w:szCs w:val="30"/>
          <w:lang w:val="en-US" w:eastAsia="en-US" w:bidi="ar-SA"/>
        </w:rPr>
      </w:pPr>
    </w:p>
    <w:p w14:paraId="21D60F9D">
      <w:pPr>
        <w:widowControl w:val="0"/>
        <w:spacing w:line="580" w:lineRule="exact"/>
        <w:ind w:firstLine="600" w:firstLineChars="200"/>
        <w:jc w:val="both"/>
        <w:rPr>
          <w:rFonts w:hint="eastAsia" w:ascii="宋体" w:hAnsi="宋体" w:eastAsia="宋体" w:cs="宋体"/>
          <w:kern w:val="2"/>
          <w:sz w:val="30"/>
          <w:szCs w:val="30"/>
          <w:lang w:val="en-US" w:eastAsia="en-US" w:bidi="ar-SA"/>
        </w:rPr>
      </w:pPr>
    </w:p>
    <w:p w14:paraId="40E05A20">
      <w:pPr>
        <w:widowControl w:val="0"/>
        <w:spacing w:line="580" w:lineRule="exact"/>
        <w:ind w:firstLine="600" w:firstLineChars="200"/>
        <w:jc w:val="both"/>
        <w:rPr>
          <w:rFonts w:hint="eastAsia" w:ascii="宋体" w:hAnsi="宋体" w:eastAsia="宋体" w:cs="宋体"/>
          <w:kern w:val="2"/>
          <w:sz w:val="30"/>
          <w:szCs w:val="30"/>
          <w:lang w:val="en-US" w:eastAsia="en-US" w:bidi="ar-SA"/>
        </w:rPr>
      </w:pPr>
    </w:p>
    <w:p w14:paraId="2E1708DF">
      <w:pPr>
        <w:widowControl w:val="0"/>
        <w:spacing w:line="580" w:lineRule="exact"/>
        <w:ind w:firstLine="600" w:firstLineChars="200"/>
        <w:jc w:val="both"/>
        <w:rPr>
          <w:rFonts w:hint="eastAsia" w:ascii="宋体" w:hAnsi="宋体" w:eastAsia="宋体" w:cs="宋体"/>
          <w:kern w:val="2"/>
          <w:sz w:val="30"/>
          <w:szCs w:val="30"/>
          <w:lang w:val="en-US" w:eastAsia="en-US" w:bidi="ar-SA"/>
        </w:rPr>
      </w:pPr>
    </w:p>
    <w:p w14:paraId="06B66563">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lang w:val="en-US" w:eastAsia="zh-CN"/>
        </w:rPr>
      </w:pPr>
      <w:r>
        <w:rPr>
          <w:rFonts w:hint="eastAsia" w:ascii="仿宋_GB2312" w:hAnsi="仿宋_GB2312" w:eastAsia="仿宋_GB2312" w:cs="仿宋_GB2312"/>
          <w:sz w:val="32"/>
          <w:szCs w:val="32"/>
        </w:rPr>
        <w:t>牡环</w:t>
      </w:r>
      <w:r>
        <w:rPr>
          <w:rFonts w:hint="default" w:ascii="仿宋_GB2312" w:hAnsi="仿宋_GB2312" w:eastAsia="仿宋_GB2312" w:cs="仿宋_GB2312"/>
          <w:sz w:val="32"/>
          <w:szCs w:val="32"/>
          <w:lang w:eastAsia="zh-CN"/>
        </w:rPr>
        <w:t>规</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号</w:t>
      </w:r>
    </w:p>
    <w:p w14:paraId="73767D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小标宋_GBK" w:hAnsi="方正小标宋_GBK" w:eastAsia="方正小标宋_GBK" w:cs="方正小标宋_GBK"/>
          <w:b w:val="0"/>
          <w:bCs w:val="0"/>
          <w:sz w:val="44"/>
          <w:szCs w:val="44"/>
        </w:rPr>
      </w:pPr>
    </w:p>
    <w:p w14:paraId="3CD2B4B6">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eastAsia="zh-CN"/>
        </w:rPr>
        <w:t>关于印发《</w:t>
      </w:r>
      <w:r>
        <w:rPr>
          <w:rFonts w:hint="eastAsia" w:ascii="宋体" w:hAnsi="宋体" w:eastAsia="宋体" w:cs="宋体"/>
          <w:b/>
          <w:bCs/>
          <w:sz w:val="44"/>
          <w:szCs w:val="44"/>
          <w:lang w:val="en-US" w:eastAsia="zh-CN"/>
        </w:rPr>
        <w:t>牡丹江市生态环境局关于适用&lt;</w:t>
      </w:r>
      <w:r>
        <w:rPr>
          <w:rFonts w:hint="eastAsia" w:ascii="宋体" w:hAnsi="宋体" w:eastAsia="宋体" w:cs="宋体"/>
          <w:b/>
          <w:bCs/>
          <w:sz w:val="44"/>
          <w:szCs w:val="44"/>
          <w:lang w:eastAsia="zh-CN"/>
        </w:rPr>
        <w:t>牡丹江市废弃食用菌菌包污染环境防治和综合利用条例</w:t>
      </w:r>
      <w:r>
        <w:rPr>
          <w:rFonts w:hint="eastAsia" w:ascii="宋体" w:hAnsi="宋体" w:eastAsia="宋体" w:cs="宋体"/>
          <w:b/>
          <w:bCs/>
          <w:sz w:val="44"/>
          <w:szCs w:val="44"/>
          <w:lang w:val="en-US" w:eastAsia="zh-CN"/>
        </w:rPr>
        <w:t>&gt;的行政处罚裁量权</w:t>
      </w:r>
    </w:p>
    <w:p w14:paraId="7F44C87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val="en-US" w:eastAsia="zh-CN"/>
        </w:rPr>
        <w:t>基准</w:t>
      </w:r>
      <w:r>
        <w:rPr>
          <w:rFonts w:hint="eastAsia" w:ascii="宋体" w:hAnsi="宋体" w:eastAsia="宋体" w:cs="宋体"/>
          <w:b/>
          <w:bCs/>
          <w:sz w:val="44"/>
          <w:szCs w:val="44"/>
          <w:lang w:eastAsia="zh-CN"/>
        </w:rPr>
        <w:t>》的通知</w:t>
      </w:r>
    </w:p>
    <w:p w14:paraId="47447961">
      <w:pPr>
        <w:rPr>
          <w:rFonts w:hint="eastAsia"/>
        </w:rPr>
      </w:pPr>
    </w:p>
    <w:p w14:paraId="6442FB1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局机关各科室、</w:t>
      </w:r>
      <w:r>
        <w:rPr>
          <w:rFonts w:hint="eastAsia" w:ascii="仿宋" w:hAnsi="仿宋" w:eastAsia="仿宋" w:cs="仿宋"/>
          <w:sz w:val="32"/>
          <w:szCs w:val="32"/>
        </w:rPr>
        <w:t>局属各单位</w:t>
      </w:r>
      <w:r>
        <w:rPr>
          <w:rFonts w:hint="eastAsia" w:ascii="仿宋" w:hAnsi="仿宋" w:eastAsia="仿宋" w:cs="仿宋"/>
          <w:sz w:val="32"/>
          <w:szCs w:val="32"/>
          <w:lang w:eastAsia="zh-CN"/>
        </w:rPr>
        <w:t>、各县（市）区生态环境局</w:t>
      </w:r>
      <w:r>
        <w:rPr>
          <w:rFonts w:hint="eastAsia" w:ascii="仿宋" w:hAnsi="仿宋" w:eastAsia="仿宋" w:cs="仿宋"/>
          <w:sz w:val="32"/>
          <w:szCs w:val="32"/>
        </w:rPr>
        <w:t>:</w:t>
      </w:r>
    </w:p>
    <w:p w14:paraId="30D90CB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为进一步规范</w:t>
      </w:r>
      <w:r>
        <w:rPr>
          <w:rFonts w:hint="eastAsia" w:ascii="仿宋" w:hAnsi="仿宋" w:eastAsia="仿宋" w:cs="仿宋"/>
          <w:sz w:val="32"/>
          <w:szCs w:val="32"/>
          <w:lang w:eastAsia="zh-CN"/>
        </w:rPr>
        <w:t>我</w:t>
      </w:r>
      <w:r>
        <w:rPr>
          <w:rFonts w:hint="eastAsia" w:ascii="仿宋" w:hAnsi="仿宋" w:eastAsia="仿宋" w:cs="仿宋"/>
          <w:sz w:val="32"/>
          <w:szCs w:val="32"/>
        </w:rPr>
        <w:t>市</w:t>
      </w:r>
      <w:r>
        <w:rPr>
          <w:rFonts w:hint="eastAsia" w:ascii="仿宋" w:hAnsi="仿宋" w:eastAsia="仿宋" w:cs="仿宋"/>
          <w:sz w:val="32"/>
          <w:szCs w:val="32"/>
          <w:lang w:eastAsia="zh-CN"/>
        </w:rPr>
        <w:t>废弃食用菌菌包污染</w:t>
      </w:r>
      <w:r>
        <w:rPr>
          <w:rFonts w:hint="eastAsia" w:ascii="仿宋" w:hAnsi="仿宋" w:eastAsia="仿宋" w:cs="仿宋"/>
          <w:sz w:val="32"/>
          <w:szCs w:val="32"/>
        </w:rPr>
        <w:t>环境行政处罚行为，保障正确行使行政处罚自由裁量权，促进合法行政、合理行政，</w:t>
      </w:r>
      <w:r>
        <w:rPr>
          <w:rFonts w:hint="eastAsia" w:ascii="仿宋" w:hAnsi="仿宋" w:eastAsia="仿宋" w:cs="仿宋"/>
          <w:sz w:val="32"/>
          <w:szCs w:val="32"/>
          <w:lang w:val="en-US" w:eastAsia="zh-CN"/>
        </w:rPr>
        <w:t>现将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牡丹江市生态环境局关于适用&lt;</w:t>
      </w:r>
      <w:r>
        <w:rPr>
          <w:rFonts w:hint="eastAsia" w:ascii="仿宋" w:hAnsi="仿宋" w:eastAsia="仿宋" w:cs="仿宋"/>
          <w:sz w:val="32"/>
          <w:szCs w:val="32"/>
          <w:lang w:eastAsia="zh-CN"/>
        </w:rPr>
        <w:t>牡丹江市废弃食用菌菌包污染环境防治和综合利用条例</w:t>
      </w:r>
      <w:r>
        <w:rPr>
          <w:rFonts w:hint="eastAsia" w:ascii="仿宋" w:hAnsi="仿宋" w:eastAsia="仿宋" w:cs="仿宋"/>
          <w:sz w:val="32"/>
          <w:szCs w:val="32"/>
          <w:lang w:val="en-US" w:eastAsia="zh-CN"/>
        </w:rPr>
        <w:t>&gt;的行政处罚裁量权基准</w:t>
      </w:r>
      <w:r>
        <w:rPr>
          <w:rFonts w:hint="eastAsia" w:ascii="仿宋" w:hAnsi="仿宋" w:eastAsia="仿宋" w:cs="仿宋"/>
          <w:sz w:val="32"/>
          <w:szCs w:val="32"/>
          <w:lang w:eastAsia="zh-CN"/>
        </w:rPr>
        <w:t>》印</w:t>
      </w:r>
      <w:r>
        <w:rPr>
          <w:rFonts w:hint="eastAsia" w:ascii="仿宋" w:hAnsi="仿宋" w:eastAsia="仿宋" w:cs="仿宋"/>
          <w:sz w:val="32"/>
          <w:szCs w:val="32"/>
        </w:rPr>
        <w:t>发</w:t>
      </w:r>
      <w:r>
        <w:rPr>
          <w:rFonts w:hint="eastAsia" w:ascii="仿宋" w:hAnsi="仿宋" w:eastAsia="仿宋" w:cs="仿宋"/>
          <w:sz w:val="32"/>
          <w:szCs w:val="32"/>
          <w:lang w:val="en-US" w:eastAsia="zh-CN"/>
        </w:rPr>
        <w:t>给你们</w:t>
      </w:r>
      <w:r>
        <w:rPr>
          <w:rFonts w:hint="eastAsia" w:ascii="仿宋" w:hAnsi="仿宋" w:eastAsia="仿宋" w:cs="仿宋"/>
          <w:sz w:val="32"/>
          <w:szCs w:val="32"/>
        </w:rPr>
        <w:t>，请</w:t>
      </w:r>
      <w:r>
        <w:rPr>
          <w:rFonts w:hint="eastAsia" w:ascii="仿宋" w:hAnsi="仿宋" w:eastAsia="仿宋" w:cs="仿宋"/>
          <w:sz w:val="32"/>
          <w:szCs w:val="32"/>
          <w:lang w:eastAsia="zh-CN"/>
        </w:rPr>
        <w:t>认真贯彻落实。</w:t>
      </w:r>
    </w:p>
    <w:p w14:paraId="1AACD81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eastAsia="zh-CN"/>
        </w:rPr>
      </w:pPr>
    </w:p>
    <w:p w14:paraId="44B4C42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附件:</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牡丹江市生态环境局关于适用&lt;</w:t>
      </w:r>
      <w:r>
        <w:rPr>
          <w:rFonts w:hint="eastAsia" w:ascii="仿宋" w:hAnsi="仿宋" w:eastAsia="仿宋" w:cs="仿宋"/>
          <w:sz w:val="32"/>
          <w:szCs w:val="32"/>
          <w:lang w:eastAsia="zh-CN"/>
        </w:rPr>
        <w:t>牡丹江市废弃食</w:t>
      </w:r>
    </w:p>
    <w:p w14:paraId="67067B1A">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用菌菌包污染环境防治和综合利用条例</w:t>
      </w:r>
      <w:r>
        <w:rPr>
          <w:rFonts w:hint="eastAsia" w:ascii="仿宋" w:hAnsi="仿宋" w:eastAsia="仿宋" w:cs="仿宋"/>
          <w:sz w:val="32"/>
          <w:szCs w:val="32"/>
          <w:lang w:val="en-US" w:eastAsia="zh-CN"/>
        </w:rPr>
        <w:t>&gt;的行政</w:t>
      </w:r>
    </w:p>
    <w:p w14:paraId="00D09830">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处罚裁量权基准</w:t>
      </w:r>
      <w:r>
        <w:rPr>
          <w:rFonts w:hint="eastAsia" w:ascii="仿宋" w:hAnsi="仿宋" w:eastAsia="仿宋" w:cs="仿宋"/>
          <w:sz w:val="32"/>
          <w:szCs w:val="32"/>
          <w:lang w:eastAsia="zh-CN"/>
        </w:rPr>
        <w:t>》</w:t>
      </w:r>
    </w:p>
    <w:p w14:paraId="406FF813">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此页无正文</w:t>
      </w:r>
      <w:r>
        <w:rPr>
          <w:rFonts w:hint="eastAsia" w:ascii="仿宋" w:hAnsi="仿宋" w:eastAsia="仿宋" w:cs="仿宋"/>
          <w:sz w:val="32"/>
          <w:szCs w:val="32"/>
          <w:lang w:eastAsia="zh-CN"/>
        </w:rPr>
        <w:t>）</w:t>
      </w:r>
    </w:p>
    <w:p w14:paraId="5C667769">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 w:hAnsi="仿宋" w:eastAsia="仿宋" w:cs="仿宋"/>
          <w:sz w:val="32"/>
          <w:szCs w:val="32"/>
          <w:lang w:eastAsia="zh-CN"/>
        </w:rPr>
      </w:pPr>
    </w:p>
    <w:p w14:paraId="0EAF7AE1">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 w:hAnsi="仿宋" w:eastAsia="仿宋" w:cs="仿宋"/>
          <w:sz w:val="32"/>
          <w:szCs w:val="32"/>
          <w:lang w:eastAsia="zh-CN"/>
        </w:rPr>
      </w:pPr>
    </w:p>
    <w:p w14:paraId="1D8A9E6F">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 w:hAnsi="仿宋" w:eastAsia="仿宋" w:cs="仿宋"/>
          <w:sz w:val="32"/>
          <w:szCs w:val="32"/>
          <w:lang w:eastAsia="zh-CN"/>
        </w:rPr>
      </w:pPr>
    </w:p>
    <w:p w14:paraId="5FA557FE">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 w:hAnsi="仿宋" w:eastAsia="仿宋" w:cs="仿宋"/>
          <w:sz w:val="32"/>
          <w:szCs w:val="32"/>
          <w:lang w:eastAsia="zh-CN"/>
        </w:rPr>
      </w:pPr>
    </w:p>
    <w:p w14:paraId="5CDE72FF">
      <w:pPr>
        <w:keepNext w:val="0"/>
        <w:keepLines w:val="0"/>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牡丹江市生态环境局</w:t>
      </w:r>
    </w:p>
    <w:p w14:paraId="6FF7F1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2025年4月24日</w:t>
      </w:r>
    </w:p>
    <w:p w14:paraId="32E988E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601C828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524B1DC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14C2332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21E33E6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4A03235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55DAFD9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2A355150">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62A59AE9">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0EE49A3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5CC4EF9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1E539F0D">
      <w:pPr>
        <w:pStyle w:val="2"/>
        <w:rPr>
          <w:rFonts w:hint="eastAsia"/>
          <w:lang w:val="en-US" w:eastAsia="zh-CN"/>
        </w:rPr>
      </w:pPr>
    </w:p>
    <w:p w14:paraId="4AB9EA7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黑体" w:hAnsi="黑体" w:eastAsia="黑体" w:cs="黑体"/>
          <w:b w:val="0"/>
          <w:bCs w:val="0"/>
          <w:i w:val="0"/>
          <w:iCs w:val="0"/>
          <w:caps w:val="0"/>
          <w:spacing w:val="8"/>
          <w:sz w:val="32"/>
          <w:szCs w:val="32"/>
          <w:shd w:val="clear" w:fill="FFFFFF"/>
          <w:lang w:val="en-US" w:eastAsia="zh-CN"/>
        </w:rPr>
      </w:pPr>
    </w:p>
    <w:p w14:paraId="58B196BA">
      <w:pPr>
        <w:pStyle w:val="2"/>
        <w:rPr>
          <w:rFonts w:hint="eastAsia"/>
          <w:lang w:val="en-US" w:eastAsia="zh-CN"/>
        </w:rPr>
      </w:pPr>
      <w:bookmarkStart w:id="0" w:name="_GoBack"/>
      <w:bookmarkEnd w:id="0"/>
    </w:p>
    <w:p w14:paraId="3EAE0F2B">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黑体" w:hAnsi="黑体" w:eastAsia="黑体" w:cs="黑体"/>
          <w:b w:val="0"/>
          <w:bCs w:val="0"/>
          <w:i w:val="0"/>
          <w:iCs w:val="0"/>
          <w:caps w:val="0"/>
          <w:spacing w:val="8"/>
          <w:sz w:val="32"/>
          <w:szCs w:val="32"/>
          <w:shd w:val="clear" w:fill="FFFFFF"/>
          <w:lang w:val="en-US" w:eastAsia="zh-CN"/>
        </w:rPr>
      </w:pPr>
    </w:p>
    <w:p w14:paraId="0C4C88EF">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textAlignment w:val="auto"/>
        <w:rPr>
          <w:rFonts w:hint="default" w:ascii="仿宋" w:hAnsi="仿宋" w:eastAsia="仿宋" w:cs="仿宋"/>
          <w:color w:val="000000"/>
          <w:spacing w:val="0"/>
          <w:w w:val="100"/>
          <w:position w:val="0"/>
          <w:sz w:val="32"/>
          <w:szCs w:val="32"/>
          <w:u w:val="single"/>
          <w:lang w:val="en-US" w:eastAsia="zh-CN"/>
        </w:rPr>
      </w:pPr>
      <w:r>
        <w:rPr>
          <w:rFonts w:hint="eastAsia" w:ascii="仿宋" w:hAnsi="仿宋" w:eastAsia="仿宋" w:cs="仿宋"/>
          <w:color w:val="000000"/>
          <w:spacing w:val="0"/>
          <w:w w:val="100"/>
          <w:position w:val="0"/>
          <w:sz w:val="32"/>
          <w:szCs w:val="32"/>
          <w:u w:val="single"/>
          <w:lang w:val="en-US" w:eastAsia="zh-CN"/>
        </w:rPr>
        <w:t xml:space="preserve">                                                         </w:t>
      </w:r>
    </w:p>
    <w:p w14:paraId="1B811C7B">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u w:val="single"/>
          <w:lang w:val="en-US" w:eastAsia="zh-CN"/>
        </w:rPr>
        <w:t xml:space="preserve"> </w:t>
      </w:r>
      <w:r>
        <w:rPr>
          <w:rFonts w:hint="eastAsia" w:ascii="仿宋_GB2312" w:hAnsi="Times New Roman" w:eastAsia="仿宋_GB2312" w:cs="Times New Roman"/>
          <w:color w:val="000000"/>
          <w:kern w:val="0"/>
          <w:sz w:val="32"/>
          <w:szCs w:val="32"/>
          <w:u w:val="single"/>
          <w:lang w:val="en-US" w:eastAsia="zh-CN" w:bidi="ar-SA"/>
        </w:rPr>
        <w:t xml:space="preserve">牡丹江市生态环境局办公室       2025年4月24日印发 </w:t>
      </w:r>
      <w:r>
        <w:rPr>
          <w:rFonts w:hint="eastAsia" w:ascii="仿宋" w:hAnsi="仿宋" w:eastAsia="仿宋" w:cs="仿宋"/>
          <w:sz w:val="32"/>
          <w:szCs w:val="32"/>
          <w:u w:val="single"/>
          <w:lang w:val="en-US" w:eastAsia="zh-CN"/>
        </w:rPr>
        <w:t xml:space="preserve"> </w:t>
      </w:r>
    </w:p>
    <w:p w14:paraId="15DD0AC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val="0"/>
          <w:bCs w:val="0"/>
          <w:i w:val="0"/>
          <w:iCs w:val="0"/>
          <w:caps w:val="0"/>
          <w:spacing w:val="8"/>
          <w:sz w:val="32"/>
          <w:szCs w:val="32"/>
          <w:shd w:val="clear" w:fill="FFFFFF"/>
          <w:lang w:val="en-US" w:eastAsia="zh-CN"/>
        </w:rPr>
      </w:pPr>
      <w:r>
        <w:rPr>
          <w:rFonts w:hint="eastAsia" w:ascii="仿宋" w:hAnsi="仿宋" w:eastAsia="仿宋" w:cs="仿宋"/>
          <w:b w:val="0"/>
          <w:bCs w:val="0"/>
          <w:i w:val="0"/>
          <w:iCs w:val="0"/>
          <w:caps w:val="0"/>
          <w:spacing w:val="8"/>
          <w:sz w:val="32"/>
          <w:szCs w:val="32"/>
          <w:shd w:val="clear" w:fill="FFFFFF"/>
          <w:lang w:val="en-US" w:eastAsia="zh-CN"/>
        </w:rPr>
        <w:t>附件：</w:t>
      </w:r>
    </w:p>
    <w:p w14:paraId="4B8CB9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 w:val="32"/>
          <w:szCs w:val="32"/>
          <w:lang w:val="en-US" w:eastAsia="zh-CN"/>
        </w:rPr>
      </w:pPr>
    </w:p>
    <w:p w14:paraId="45DF4B9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val="en-US" w:eastAsia="zh-CN"/>
        </w:rPr>
        <w:t>牡丹江市生态环境局关于适用&lt;</w:t>
      </w:r>
      <w:r>
        <w:rPr>
          <w:rFonts w:hint="eastAsia" w:ascii="宋体" w:hAnsi="宋体" w:eastAsia="宋体" w:cs="宋体"/>
          <w:b/>
          <w:bCs/>
          <w:sz w:val="44"/>
          <w:szCs w:val="44"/>
          <w:lang w:eastAsia="zh-CN"/>
        </w:rPr>
        <w:t>牡丹江市废弃食用菌菌包污染环境防治和综合</w:t>
      </w:r>
    </w:p>
    <w:p w14:paraId="0C4278B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_GBK" w:hAnsi="方正小标宋_GBK" w:eastAsia="方正小标宋_GBK" w:cs="方正小标宋_GBK"/>
          <w:b w:val="0"/>
          <w:bCs w:val="0"/>
          <w:i w:val="0"/>
          <w:iCs w:val="0"/>
          <w:caps w:val="0"/>
          <w:spacing w:val="8"/>
          <w:sz w:val="44"/>
          <w:szCs w:val="44"/>
          <w:shd w:val="clear" w:fill="FFFFFF"/>
          <w:lang w:val="en-US" w:eastAsia="zh-CN"/>
        </w:rPr>
      </w:pPr>
      <w:r>
        <w:rPr>
          <w:rFonts w:hint="eastAsia" w:ascii="宋体" w:hAnsi="宋体" w:eastAsia="宋体" w:cs="宋体"/>
          <w:b/>
          <w:bCs/>
          <w:sz w:val="44"/>
          <w:szCs w:val="44"/>
          <w:lang w:eastAsia="zh-CN"/>
        </w:rPr>
        <w:t>利用条例</w:t>
      </w:r>
      <w:r>
        <w:rPr>
          <w:rFonts w:hint="eastAsia" w:ascii="宋体" w:hAnsi="宋体" w:eastAsia="宋体" w:cs="宋体"/>
          <w:b/>
          <w:bCs/>
          <w:sz w:val="44"/>
          <w:szCs w:val="44"/>
          <w:lang w:val="en-US" w:eastAsia="zh-CN"/>
        </w:rPr>
        <w:t>&gt;的行政处罚裁量权基准</w:t>
      </w:r>
    </w:p>
    <w:p w14:paraId="14457C0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spacing w:val="8"/>
          <w:sz w:val="44"/>
          <w:szCs w:val="44"/>
          <w:shd w:val="clear" w:fill="FFFFFF"/>
          <w:lang w:val="en-US" w:eastAsia="zh-CN"/>
        </w:rPr>
      </w:pPr>
    </w:p>
    <w:p w14:paraId="56D60B1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spacing w:val="8"/>
          <w:sz w:val="32"/>
          <w:szCs w:val="32"/>
          <w:shd w:val="clear" w:fill="FFFFFF"/>
          <w:lang w:val="en-US" w:eastAsia="zh-CN"/>
        </w:rPr>
      </w:pPr>
      <w:r>
        <w:rPr>
          <w:rFonts w:hint="eastAsia" w:ascii="黑体" w:hAnsi="黑体" w:eastAsia="黑体" w:cs="黑体"/>
          <w:b w:val="0"/>
          <w:bCs w:val="0"/>
          <w:i w:val="0"/>
          <w:iCs w:val="0"/>
          <w:caps w:val="0"/>
          <w:spacing w:val="8"/>
          <w:sz w:val="32"/>
          <w:szCs w:val="32"/>
          <w:shd w:val="clear" w:fill="FFFFFF"/>
          <w:lang w:val="en-US" w:eastAsia="zh-CN"/>
        </w:rPr>
        <w:t>第一部分 适用说明</w:t>
      </w:r>
    </w:p>
    <w:p w14:paraId="38106C8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i w:val="0"/>
          <w:iCs w:val="0"/>
          <w:caps w:val="0"/>
          <w:spacing w:val="8"/>
          <w:sz w:val="44"/>
          <w:szCs w:val="44"/>
          <w:shd w:val="clear" w:fill="FFFFFF"/>
          <w:lang w:val="en-US" w:eastAsia="zh-CN"/>
        </w:rPr>
      </w:pPr>
    </w:p>
    <w:p w14:paraId="4A0F45FC">
      <w:pPr>
        <w:keepNext w:val="0"/>
        <w:keepLines w:val="0"/>
        <w:pageBreakBefore w:val="0"/>
        <w:widowControl w:val="0"/>
        <w:kinsoku/>
        <w:wordWrap/>
        <w:overflowPunct/>
        <w:topLinePunct w:val="0"/>
        <w:autoSpaceDE/>
        <w:autoSpaceDN/>
        <w:bidi w:val="0"/>
        <w:adjustRightInd/>
        <w:snapToGrid/>
        <w:spacing w:line="600" w:lineRule="exact"/>
        <w:ind w:firstLine="64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为建立健全我市</w:t>
      </w:r>
      <w:r>
        <w:rPr>
          <w:rFonts w:hint="eastAsia" w:ascii="仿宋_GB2312" w:hAnsi="仿宋_GB2312" w:eastAsia="仿宋_GB2312" w:cs="仿宋_GB2312"/>
          <w:sz w:val="32"/>
          <w:szCs w:val="32"/>
          <w:lang w:eastAsia="zh-CN"/>
        </w:rPr>
        <w:t>生态环境</w:t>
      </w:r>
      <w:r>
        <w:rPr>
          <w:rFonts w:hint="eastAsia" w:ascii="仿宋_GB2312" w:hAnsi="仿宋_GB2312" w:eastAsia="仿宋_GB2312" w:cs="仿宋_GB2312"/>
          <w:sz w:val="32"/>
          <w:szCs w:val="32"/>
        </w:rPr>
        <w:t>行政裁量权基准制度，规范行使</w:t>
      </w:r>
      <w:r>
        <w:rPr>
          <w:rFonts w:hint="eastAsia" w:ascii="仿宋_GB2312" w:hAnsi="仿宋_GB2312" w:eastAsia="仿宋_GB2312" w:cs="仿宋_GB2312"/>
          <w:sz w:val="32"/>
          <w:szCs w:val="32"/>
          <w:lang w:eastAsia="zh-CN"/>
        </w:rPr>
        <w:t>废弃食用菌菌包污染</w:t>
      </w:r>
      <w:r>
        <w:rPr>
          <w:rFonts w:hint="eastAsia" w:ascii="仿宋_GB2312" w:hAnsi="仿宋_GB2312" w:eastAsia="仿宋_GB2312" w:cs="仿宋_GB2312"/>
          <w:sz w:val="32"/>
          <w:szCs w:val="32"/>
        </w:rPr>
        <w:t>环境行政处罚裁量权基准，提高行政执法水平，根据《中华人民共和国行政处罚法》等法律法规以及国务院有关规定，制定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牡丹江市生态环境局关于</w:t>
      </w:r>
    </w:p>
    <w:p w14:paraId="1D5CCF7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适用&lt;</w:t>
      </w:r>
      <w:r>
        <w:rPr>
          <w:rFonts w:hint="eastAsia" w:ascii="仿宋_GB2312" w:hAnsi="仿宋_GB2312" w:eastAsia="仿宋_GB2312" w:cs="仿宋_GB2312"/>
          <w:sz w:val="32"/>
          <w:szCs w:val="32"/>
          <w:lang w:eastAsia="zh-CN"/>
        </w:rPr>
        <w:t>牡丹江市废弃食用菌菌包污染环境防治和综合利用条例</w:t>
      </w:r>
      <w:r>
        <w:rPr>
          <w:rFonts w:hint="eastAsia" w:ascii="仿宋_GB2312" w:hAnsi="仿宋_GB2312" w:eastAsia="仿宋_GB2312" w:cs="仿宋_GB2312"/>
          <w:sz w:val="32"/>
          <w:szCs w:val="32"/>
          <w:lang w:val="en-US" w:eastAsia="zh-CN"/>
        </w:rPr>
        <w:t>&gt;的行政处罚裁量权基准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（以下简称《基准》）。</w:t>
      </w:r>
    </w:p>
    <w:p w14:paraId="5E299FC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二、本《基准》适用于牡丹江市地方性法规关于废弃食用菌菌包类违法行为的行政处罚裁量。</w:t>
      </w:r>
    </w:p>
    <w:p w14:paraId="2F6AFC3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本《基准》所涉及的废弃食用菌菌包行政处罚裁量权基准，是指牡丹江市生态环境系统在对废弃食用菌菌包违法行为实施“罚款”时，确定“罚款”数额的细化条款。实施“警告”“责令停止违法行为”等“罚款”以外的行政处罚种类时，根据相应处罚依据作出行政处罚。</w:t>
      </w:r>
    </w:p>
    <w:p w14:paraId="76570FE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四、本《基准》根据立法目的和行政处罚原则，综合考虑了违法的事实、性质、情节等因素，在法律、法规、规章规定的处罚幅度内，采取分级原则进行裁量，对罚款数额进行细化。</w:t>
      </w:r>
    </w:p>
    <w:p w14:paraId="043D65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五、本《基准》对符合《牡丹江市废弃食用菌菌包污染环境防治和综合利用条例》第二十四条第一款规定的，由生态环境主管部门责令停止违法行为，在规定期限内改正完成的，可以不予行政处罚。</w:t>
      </w:r>
    </w:p>
    <w:p w14:paraId="5903F2E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lang w:val="en-US" w:eastAsia="zh-CN"/>
        </w:rPr>
        <w:t>本《基准》对于</w:t>
      </w:r>
      <w:r>
        <w:rPr>
          <w:rFonts w:hint="eastAsia" w:ascii="仿宋_GB2312" w:hAnsi="仿宋_GB2312" w:eastAsia="仿宋_GB2312" w:cs="仿宋_GB2312"/>
          <w:sz w:val="32"/>
          <w:szCs w:val="32"/>
          <w:lang w:eastAsia="zh-CN"/>
        </w:rPr>
        <w:t>排污单位配合生态环境部门查处生态环境违法行为有立功表现的，可以从轻处罚。从轻处罚仅针对罚款类行政处罚，在行政处罚裁量基准确定罚款金额的基础上减少</w:t>
      </w:r>
      <w:r>
        <w:rPr>
          <w:rFonts w:hint="eastAsia" w:ascii="仿宋_GB2312" w:hAnsi="仿宋_GB2312" w:eastAsia="仿宋_GB2312" w:cs="仿宋_GB2312"/>
          <w:sz w:val="32"/>
          <w:szCs w:val="32"/>
          <w:lang w:val="en-US" w:eastAsia="zh-CN"/>
        </w:rPr>
        <w:t>20%，从轻处罚后的罚款金额以最低的法定罚款金额为限。</w:t>
      </w:r>
    </w:p>
    <w:p w14:paraId="695F0D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由本</w:t>
      </w:r>
      <w:r>
        <w:rPr>
          <w:rFonts w:hint="eastAsia" w:ascii="仿宋_GB2312" w:hAnsi="仿宋_GB2312" w:eastAsia="仿宋_GB2312" w:cs="仿宋_GB2312"/>
          <w:sz w:val="32"/>
          <w:szCs w:val="32"/>
          <w:lang w:val="en-US" w:eastAsia="zh-CN"/>
        </w:rPr>
        <w:t>《基准》</w:t>
      </w:r>
      <w:r>
        <w:rPr>
          <w:rFonts w:hint="eastAsia" w:ascii="仿宋_GB2312" w:hAnsi="仿宋_GB2312" w:eastAsia="仿宋_GB2312" w:cs="仿宋_GB2312"/>
          <w:sz w:val="32"/>
          <w:szCs w:val="32"/>
        </w:rPr>
        <w:t>得出的具体罚款金额等于各项百</w:t>
      </w:r>
      <w:r>
        <w:rPr>
          <w:rFonts w:hint="eastAsia" w:ascii="仿宋_GB2312" w:hAnsi="仿宋_GB2312" w:eastAsia="仿宋_GB2312" w:cs="仿宋_GB2312"/>
          <w:sz w:val="32"/>
          <w:szCs w:val="32"/>
          <w:lang w:val="en-US" w:eastAsia="zh-CN"/>
        </w:rPr>
        <w:t>分</w:t>
      </w:r>
      <w:r>
        <w:rPr>
          <w:rFonts w:hint="eastAsia" w:ascii="仿宋_GB2312" w:hAnsi="仿宋_GB2312" w:eastAsia="仿宋_GB2312" w:cs="仿宋_GB2312"/>
          <w:sz w:val="32"/>
          <w:szCs w:val="32"/>
        </w:rPr>
        <w:t>值累加后，乘以违法行为最高法定罚款数额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即罚款金额=最高法定罚款数额</w:t>
      </w:r>
      <w:r>
        <w:rPr>
          <w:rFonts w:hint="default" w:ascii="Arial" w:hAnsi="Arial" w:eastAsia="仿宋_GB2312" w:cs="Arial"/>
          <w:sz w:val="32"/>
          <w:szCs w:val="32"/>
          <w:lang w:val="en-US" w:eastAsia="zh-CN"/>
        </w:rPr>
        <w:t>×</w:t>
      </w:r>
      <w:r>
        <w:rPr>
          <w:rFonts w:hint="eastAsia" w:ascii="仿宋_GB2312" w:hAnsi="仿宋_GB2312" w:eastAsia="仿宋_GB2312" w:cs="仿宋_GB2312"/>
          <w:sz w:val="32"/>
          <w:szCs w:val="32"/>
        </w:rPr>
        <w:t>百分值之和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计</w:t>
      </w:r>
      <w:r>
        <w:rPr>
          <w:rFonts w:hint="eastAsia" w:ascii="仿宋_GB2312" w:hAnsi="仿宋_GB2312" w:eastAsia="仿宋_GB2312" w:cs="仿宋_GB2312"/>
          <w:sz w:val="32"/>
          <w:szCs w:val="32"/>
        </w:rPr>
        <w:t>算后得出的罚款金额以整数为单位，如</w:t>
      </w:r>
      <w:r>
        <w:rPr>
          <w:rFonts w:hint="eastAsia" w:ascii="仿宋_GB2312" w:hAnsi="仿宋_GB2312" w:eastAsia="仿宋_GB2312" w:cs="仿宋_GB2312"/>
          <w:sz w:val="32"/>
          <w:szCs w:val="32"/>
          <w:lang w:eastAsia="zh-CN"/>
        </w:rPr>
        <w:t>计</w:t>
      </w:r>
      <w:r>
        <w:rPr>
          <w:rFonts w:hint="eastAsia" w:ascii="仿宋_GB2312" w:hAnsi="仿宋_GB2312" w:eastAsia="仿宋_GB2312" w:cs="仿宋_GB2312"/>
          <w:sz w:val="32"/>
          <w:szCs w:val="32"/>
        </w:rPr>
        <w:t>算后得出的罚款金额低于法定最低幅度，</w:t>
      </w:r>
      <w:r>
        <w:rPr>
          <w:rFonts w:hint="eastAsia" w:ascii="仿宋_GB2312" w:hAnsi="仿宋_GB2312" w:eastAsia="仿宋_GB2312" w:cs="仿宋_GB2312"/>
          <w:sz w:val="32"/>
          <w:szCs w:val="32"/>
          <w:lang w:val="en-US" w:eastAsia="zh-CN"/>
        </w:rPr>
        <w:t>罚款金额以最低的法定罚款金额为限。</w:t>
      </w:r>
    </w:p>
    <w:p w14:paraId="3B02ED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、本《基准》执行过程中，</w:t>
      </w:r>
      <w:r>
        <w:rPr>
          <w:rFonts w:hint="eastAsia" w:ascii="仿宋_GB2312" w:hAnsi="仿宋_GB2312" w:eastAsia="仿宋_GB2312" w:cs="仿宋_GB2312"/>
          <w:sz w:val="32"/>
          <w:szCs w:val="32"/>
          <w:lang w:eastAsia="zh-CN"/>
        </w:rPr>
        <w:t>牡丹江</w:t>
      </w:r>
      <w:r>
        <w:rPr>
          <w:rFonts w:hint="eastAsia" w:ascii="仿宋_GB2312" w:hAnsi="仿宋_GB2312" w:eastAsia="仿宋_GB2312" w:cs="仿宋_GB2312"/>
          <w:sz w:val="32"/>
          <w:szCs w:val="32"/>
        </w:rPr>
        <w:t>市相关地方性法规发生变化的，或者在《基准》执行过程中发现与现行法律、法规等规定不相符的，以最新规定为准。</w:t>
      </w:r>
    </w:p>
    <w:p w14:paraId="23A5CFC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、本《基准》自</w:t>
      </w:r>
      <w:r>
        <w:rPr>
          <w:rFonts w:hint="eastAsia" w:ascii="仿宋_GB2312" w:hAnsi="仿宋_GB2312" w:eastAsia="仿宋_GB2312" w:cs="仿宋_GB2312"/>
          <w:sz w:val="32"/>
          <w:szCs w:val="32"/>
          <w:lang w:eastAsia="zh-CN"/>
        </w:rPr>
        <w:t>发布之日</w:t>
      </w:r>
      <w:r>
        <w:rPr>
          <w:rFonts w:hint="eastAsia" w:ascii="仿宋_GB2312" w:hAnsi="仿宋_GB2312" w:eastAsia="仿宋_GB2312" w:cs="仿宋_GB2312"/>
          <w:sz w:val="32"/>
          <w:szCs w:val="32"/>
        </w:rPr>
        <w:t>起实施，有效期为</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年。本《基准》由</w:t>
      </w:r>
      <w:r>
        <w:rPr>
          <w:rFonts w:hint="eastAsia" w:ascii="仿宋_GB2312" w:hAnsi="仿宋_GB2312" w:eastAsia="仿宋_GB2312" w:cs="仿宋_GB2312"/>
          <w:sz w:val="32"/>
          <w:szCs w:val="32"/>
          <w:lang w:val="en-US" w:eastAsia="zh-CN"/>
        </w:rPr>
        <w:t>牡丹江市生态环境</w:t>
      </w:r>
      <w:r>
        <w:rPr>
          <w:rFonts w:hint="eastAsia" w:ascii="仿宋_GB2312" w:hAnsi="仿宋_GB2312" w:eastAsia="仿宋_GB2312" w:cs="仿宋_GB2312"/>
          <w:sz w:val="32"/>
          <w:szCs w:val="32"/>
        </w:rPr>
        <w:t>局负责解释。</w:t>
      </w:r>
    </w:p>
    <w:p w14:paraId="29D15CF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14:paraId="201DB080">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14:paraId="53988310">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i w:val="0"/>
          <w:iCs w:val="0"/>
          <w:caps w:val="0"/>
          <w:spacing w:val="8"/>
          <w:sz w:val="32"/>
          <w:szCs w:val="32"/>
          <w:shd w:val="clear" w:fill="FFFFFF"/>
          <w:lang w:val="en-US" w:eastAsia="zh-CN"/>
        </w:rPr>
      </w:pPr>
      <w:r>
        <w:rPr>
          <w:rFonts w:hint="eastAsia" w:ascii="黑体" w:hAnsi="黑体" w:eastAsia="黑体" w:cs="黑体"/>
          <w:b w:val="0"/>
          <w:bCs w:val="0"/>
          <w:i w:val="0"/>
          <w:iCs w:val="0"/>
          <w:caps w:val="0"/>
          <w:spacing w:val="8"/>
          <w:sz w:val="32"/>
          <w:szCs w:val="32"/>
          <w:shd w:val="clear" w:fill="FFFFFF"/>
          <w:lang w:val="en-US" w:eastAsia="zh-CN"/>
        </w:rPr>
        <w:t>行政处罚裁量权基准</w:t>
      </w:r>
    </w:p>
    <w:p w14:paraId="276F7262">
      <w:pPr>
        <w:keepNext w:val="0"/>
        <w:keepLines w:val="0"/>
        <w:widowControl/>
        <w:numPr>
          <w:ilvl w:val="0"/>
          <w:numId w:val="0"/>
        </w:numPr>
        <w:suppressLineNumbers w:val="0"/>
        <w:ind w:firstLine="964" w:firstLineChars="300"/>
        <w:jc w:val="both"/>
        <w:textAlignment w:val="center"/>
        <w:rPr>
          <w:rFonts w:hint="eastAsia" w:ascii="仿宋_GB2312" w:hAnsi="仿宋_GB2312" w:eastAsia="仿宋_GB2312" w:cs="仿宋_GB2312"/>
          <w:b/>
          <w:bCs/>
          <w:sz w:val="32"/>
          <w:szCs w:val="32"/>
          <w:lang w:val="en-US" w:eastAsia="zh-CN"/>
        </w:rPr>
      </w:pPr>
    </w:p>
    <w:p w14:paraId="35793466">
      <w:pPr>
        <w:keepNext w:val="0"/>
        <w:keepLines w:val="0"/>
        <w:pageBreakBefore w:val="0"/>
        <w:widowControl w:val="0"/>
        <w:numPr>
          <w:ilvl w:val="0"/>
          <w:numId w:val="0"/>
        </w:numPr>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牡丹江市生态环境</w:t>
      </w:r>
      <w:r>
        <w:rPr>
          <w:rFonts w:hint="eastAsia" w:ascii="仿宋_GB2312" w:hAnsi="仿宋_GB2312" w:eastAsia="仿宋_GB2312" w:cs="仿宋_GB2312"/>
          <w:b/>
          <w:bCs/>
          <w:sz w:val="32"/>
          <w:szCs w:val="32"/>
          <w:lang w:eastAsia="zh-CN"/>
        </w:rPr>
        <w:t>局关于适用《牡丹江市废弃食用菌菌包污染环境防治和综合利用条例》的行政处罚裁量权基准</w:t>
      </w:r>
    </w:p>
    <w:tbl>
      <w:tblPr>
        <w:tblStyle w:val="10"/>
        <w:tblW w:w="90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712"/>
        <w:gridCol w:w="723"/>
        <w:gridCol w:w="915"/>
        <w:gridCol w:w="743"/>
        <w:gridCol w:w="990"/>
        <w:gridCol w:w="2621"/>
        <w:gridCol w:w="780"/>
        <w:gridCol w:w="1134"/>
      </w:tblGrid>
      <w:tr w14:paraId="64B63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428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CFA6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违法行为</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E04A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法律依据</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691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裁量范围</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A6B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实施主体</w:t>
            </w:r>
          </w:p>
        </w:tc>
        <w:tc>
          <w:tcPr>
            <w:tcW w:w="55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377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违法情节</w:t>
            </w:r>
          </w:p>
        </w:tc>
      </w:tr>
      <w:tr w14:paraId="24AFF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45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78F9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擅自倾倒、堆放、丢弃遗撒废弃食用菌菌包</w:t>
            </w:r>
          </w:p>
        </w:tc>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0CA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《牡丹江市废弃食用菌菌包污染环境防治和综合利用条例》第二十四条</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54A5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对单位处二千元以上二万元以下的罚款，对其他生产经营者处二百元以上二千元以下的罚款</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B41B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生态环境行政主管部门</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1A74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要素</w:t>
            </w:r>
          </w:p>
        </w:tc>
        <w:tc>
          <w:tcPr>
            <w:tcW w:w="2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8F9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程度</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C7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百分比</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8BD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取值</w:t>
            </w:r>
          </w:p>
        </w:tc>
      </w:tr>
      <w:tr w14:paraId="7DC4D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19210">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9D6B8">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D4AE2">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8B963">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2FA76">
            <w:pPr>
              <w:jc w:val="center"/>
              <w:rPr>
                <w:rFonts w:hint="eastAsia" w:ascii="宋体" w:hAnsi="宋体" w:eastAsia="宋体" w:cs="宋体"/>
                <w:i w:val="0"/>
                <w:iCs w:val="0"/>
                <w:color w:val="000000"/>
                <w:sz w:val="24"/>
                <w:szCs w:val="24"/>
                <w:u w:val="none"/>
              </w:rPr>
            </w:pP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1AF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存储量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（70%）</w:t>
            </w: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32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Calibri" w:hAnsi="Calibri" w:eastAsia="宋体" w:cs="Calibri"/>
                <w:i w:val="0"/>
                <w:iCs w:val="0"/>
                <w:color w:val="000000"/>
                <w:kern w:val="0"/>
                <w:sz w:val="24"/>
                <w:szCs w:val="24"/>
                <w:u w:val="none"/>
                <w:lang w:val="en-US" w:eastAsia="zh-CN" w:bidi="ar"/>
              </w:rPr>
              <w:t>0-</w:t>
            </w:r>
            <w:r>
              <w:rPr>
                <w:rFonts w:hint="default" w:ascii="Calibri" w:hAnsi="Calibri" w:eastAsia="宋体" w:cs="Calibri"/>
                <w:i w:val="0"/>
                <w:iCs w:val="0"/>
                <w:color w:val="000000"/>
                <w:kern w:val="0"/>
                <w:sz w:val="24"/>
                <w:szCs w:val="24"/>
                <w:u w:val="none"/>
                <w:lang w:val="en-US" w:eastAsia="zh-CN" w:bidi="ar"/>
              </w:rPr>
              <w:t>10</w:t>
            </w:r>
            <w:r>
              <w:rPr>
                <w:rFonts w:ascii="Calibri" w:hAnsi="Calibri" w:eastAsia="宋体" w:cs="Calibri"/>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D574A">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88B92">
            <w:pPr>
              <w:rPr>
                <w:rFonts w:hint="eastAsia" w:ascii="宋体" w:hAnsi="宋体" w:eastAsia="宋体" w:cs="宋体"/>
                <w:i w:val="0"/>
                <w:iCs w:val="0"/>
                <w:color w:val="000000"/>
                <w:sz w:val="24"/>
                <w:szCs w:val="24"/>
                <w:u w:val="none"/>
              </w:rPr>
            </w:pPr>
          </w:p>
        </w:tc>
      </w:tr>
      <w:tr w14:paraId="32BBE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1D8E4">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3661F">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92427D">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59C22">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37624">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1BC13">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05EF8">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100-500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D5B4">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30%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8F9FA">
            <w:pPr>
              <w:rPr>
                <w:rFonts w:hint="eastAsia" w:ascii="宋体" w:hAnsi="宋体" w:eastAsia="宋体" w:cs="宋体"/>
                <w:i w:val="0"/>
                <w:iCs w:val="0"/>
                <w:color w:val="000000"/>
                <w:sz w:val="24"/>
                <w:szCs w:val="24"/>
                <w:u w:val="none"/>
              </w:rPr>
            </w:pPr>
          </w:p>
        </w:tc>
      </w:tr>
      <w:tr w14:paraId="1F7B8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6627">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98F71">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D5267">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C2B78">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F812F">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852926">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7291">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500-1000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B2651">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50%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D89BD">
            <w:pPr>
              <w:rPr>
                <w:rFonts w:hint="eastAsia" w:ascii="宋体" w:hAnsi="宋体" w:eastAsia="宋体" w:cs="宋体"/>
                <w:i w:val="0"/>
                <w:iCs w:val="0"/>
                <w:color w:val="000000"/>
                <w:sz w:val="24"/>
                <w:szCs w:val="24"/>
                <w:u w:val="none"/>
              </w:rPr>
            </w:pPr>
          </w:p>
        </w:tc>
      </w:tr>
      <w:tr w14:paraId="36F02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94A30">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02DC3">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85A65">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57A08">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94A1B">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9BAE1">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67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Fonts w:ascii="Calibri" w:hAnsi="Calibri" w:eastAsia="宋体" w:cs="Calibri"/>
                <w:i w:val="0"/>
                <w:iCs w:val="0"/>
                <w:color w:val="000000"/>
                <w:kern w:val="0"/>
                <w:sz w:val="24"/>
                <w:szCs w:val="24"/>
                <w:u w:val="none"/>
                <w:lang w:val="en-US" w:eastAsia="zh-CN" w:bidi="ar"/>
              </w:rPr>
              <w:t>1000</w:t>
            </w:r>
            <w:r>
              <w:rPr>
                <w:rFonts w:hint="eastAsia" w:ascii="宋体" w:hAnsi="宋体" w:eastAsia="宋体" w:cs="宋体"/>
                <w:i w:val="0"/>
                <w:iCs w:val="0"/>
                <w:color w:val="000000"/>
                <w:kern w:val="0"/>
                <w:sz w:val="24"/>
                <w:szCs w:val="24"/>
                <w:u w:val="none"/>
                <w:lang w:val="en-US" w:eastAsia="zh-CN" w:bidi="ar"/>
              </w:rPr>
              <w:t>立方米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8633">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70%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55691">
            <w:pPr>
              <w:rPr>
                <w:rFonts w:hint="eastAsia" w:ascii="宋体" w:hAnsi="宋体" w:eastAsia="宋体" w:cs="宋体"/>
                <w:i w:val="0"/>
                <w:iCs w:val="0"/>
                <w:color w:val="000000"/>
                <w:sz w:val="24"/>
                <w:szCs w:val="24"/>
                <w:u w:val="none"/>
              </w:rPr>
            </w:pPr>
          </w:p>
        </w:tc>
      </w:tr>
      <w:tr w14:paraId="4246E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D604">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BF146">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7835CC">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4B5DD">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328369">
            <w:pPr>
              <w:jc w:val="center"/>
              <w:rPr>
                <w:rFonts w:hint="eastAsia" w:ascii="宋体" w:hAnsi="宋体" w:eastAsia="宋体" w:cs="宋体"/>
                <w:i w:val="0"/>
                <w:iCs w:val="0"/>
                <w:color w:val="000000"/>
                <w:sz w:val="24"/>
                <w:szCs w:val="24"/>
                <w:u w:val="none"/>
              </w:rPr>
            </w:pP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9D6B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排放区域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（20%）</w:t>
            </w: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E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工业区和农村地区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EDFA">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8A368">
            <w:pPr>
              <w:rPr>
                <w:rFonts w:hint="eastAsia" w:ascii="宋体" w:hAnsi="宋体" w:eastAsia="宋体" w:cs="宋体"/>
                <w:i w:val="0"/>
                <w:iCs w:val="0"/>
                <w:color w:val="000000"/>
                <w:sz w:val="24"/>
                <w:szCs w:val="24"/>
                <w:u w:val="none"/>
              </w:rPr>
            </w:pPr>
          </w:p>
        </w:tc>
      </w:tr>
      <w:tr w14:paraId="370D4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6BCB1">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25568">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A7EBF">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3F22C">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3DD84">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4C8D1">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EF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居民区、商业交通居民混合区、文化区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1D32">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8C672">
            <w:pPr>
              <w:rPr>
                <w:rFonts w:hint="eastAsia" w:ascii="宋体" w:hAnsi="宋体" w:eastAsia="宋体" w:cs="宋体"/>
                <w:i w:val="0"/>
                <w:iCs w:val="0"/>
                <w:color w:val="000000"/>
                <w:sz w:val="24"/>
                <w:szCs w:val="24"/>
                <w:u w:val="none"/>
              </w:rPr>
            </w:pPr>
          </w:p>
        </w:tc>
      </w:tr>
      <w:tr w14:paraId="5D1FF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25D3">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48C2E">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20524">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F214A">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E6996">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909AD">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A10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其他重点地区（有法律法规明确规定的区域从其规定）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BCE3">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20%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73746">
            <w:pPr>
              <w:rPr>
                <w:rFonts w:hint="eastAsia" w:ascii="宋体" w:hAnsi="宋体" w:eastAsia="宋体" w:cs="宋体"/>
                <w:i w:val="0"/>
                <w:iCs w:val="0"/>
                <w:color w:val="000000"/>
                <w:sz w:val="24"/>
                <w:szCs w:val="24"/>
                <w:u w:val="none"/>
              </w:rPr>
            </w:pPr>
          </w:p>
        </w:tc>
      </w:tr>
      <w:tr w14:paraId="0D800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645F8">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B591A">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E2C8D">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EBF34B">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0B23B">
            <w:pPr>
              <w:jc w:val="center"/>
              <w:rPr>
                <w:rFonts w:hint="eastAsia" w:ascii="宋体" w:hAnsi="宋体" w:eastAsia="宋体" w:cs="宋体"/>
                <w:i w:val="0"/>
                <w:iCs w:val="0"/>
                <w:color w:val="000000"/>
                <w:sz w:val="24"/>
                <w:szCs w:val="24"/>
                <w:u w:val="none"/>
              </w:rPr>
            </w:pP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D39F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违法次数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w:t>
            </w: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DA9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初次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7105">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AEA46">
            <w:pPr>
              <w:rPr>
                <w:rFonts w:hint="eastAsia" w:ascii="宋体" w:hAnsi="宋体" w:eastAsia="宋体" w:cs="宋体"/>
                <w:i w:val="0"/>
                <w:iCs w:val="0"/>
                <w:color w:val="000000"/>
                <w:sz w:val="24"/>
                <w:szCs w:val="24"/>
                <w:u w:val="none"/>
              </w:rPr>
            </w:pPr>
          </w:p>
        </w:tc>
      </w:tr>
      <w:tr w14:paraId="6F670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FA5AE">
            <w:pPr>
              <w:jc w:val="center"/>
              <w:rPr>
                <w:rFonts w:hint="eastAsia" w:ascii="宋体" w:hAnsi="宋体" w:eastAsia="宋体" w:cs="宋体"/>
                <w:i w:val="0"/>
                <w:iCs w:val="0"/>
                <w:color w:val="000000"/>
                <w:sz w:val="24"/>
                <w:szCs w:val="24"/>
                <w:u w:val="none"/>
              </w:rPr>
            </w:pPr>
          </w:p>
        </w:tc>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A3781">
            <w:pPr>
              <w:jc w:val="center"/>
              <w:rPr>
                <w:rFonts w:hint="eastAsia" w:ascii="宋体" w:hAnsi="宋体" w:eastAsia="宋体" w:cs="宋体"/>
                <w:i w:val="0"/>
                <w:iCs w:val="0"/>
                <w:color w:val="000000"/>
                <w:sz w:val="24"/>
                <w:szCs w:val="24"/>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1F548">
            <w:pPr>
              <w:jc w:val="center"/>
              <w:rPr>
                <w:rFonts w:hint="eastAsia" w:ascii="宋体" w:hAnsi="宋体" w:eastAsia="宋体" w:cs="宋体"/>
                <w:i w:val="0"/>
                <w:iCs w:val="0"/>
                <w:color w:val="000000"/>
                <w:sz w:val="24"/>
                <w:szCs w:val="24"/>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099B5">
            <w:pPr>
              <w:jc w:val="center"/>
              <w:rPr>
                <w:rFonts w:hint="eastAsia" w:ascii="宋体" w:hAnsi="宋体" w:eastAsia="宋体" w:cs="宋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DD851">
            <w:pPr>
              <w:jc w:val="center"/>
              <w:rPr>
                <w:rFonts w:hint="eastAsia" w:ascii="宋体" w:hAnsi="宋体" w:eastAsia="宋体" w:cs="宋体"/>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9027F">
            <w:pPr>
              <w:jc w:val="center"/>
              <w:rPr>
                <w:rFonts w:hint="eastAsia" w:ascii="宋体" w:hAnsi="宋体" w:eastAsia="宋体" w:cs="宋体"/>
                <w:i w:val="0"/>
                <w:iCs w:val="0"/>
                <w:color w:val="000000"/>
                <w:sz w:val="24"/>
                <w:szCs w:val="24"/>
                <w:u w:val="none"/>
              </w:rPr>
            </w:pPr>
          </w:p>
        </w:tc>
        <w:tc>
          <w:tcPr>
            <w:tcW w:w="2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F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累次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0354">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F1FC6">
            <w:pPr>
              <w:rPr>
                <w:rFonts w:hint="eastAsia" w:ascii="宋体" w:hAnsi="宋体" w:eastAsia="宋体" w:cs="宋体"/>
                <w:i w:val="0"/>
                <w:iCs w:val="0"/>
                <w:color w:val="000000"/>
                <w:sz w:val="24"/>
                <w:szCs w:val="24"/>
                <w:u w:val="none"/>
              </w:rPr>
            </w:pPr>
          </w:p>
        </w:tc>
      </w:tr>
    </w:tbl>
    <w:p w14:paraId="6F6C465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p w14:paraId="269618E7">
      <w:pPr>
        <w:keepNext w:val="0"/>
        <w:keepLines w:val="0"/>
        <w:widowControl/>
        <w:suppressLineNumbers w:val="0"/>
        <w:ind w:left="480" w:hanging="480" w:hangingChars="200"/>
        <w:jc w:val="both"/>
        <w:textAlignment w:val="center"/>
        <w:rPr>
          <w:rFonts w:hint="default" w:ascii="宋体" w:hAnsi="宋体" w:eastAsia="宋体" w:cs="宋体"/>
          <w:i w:val="0"/>
          <w:iCs w:val="0"/>
          <w:color w:val="000000"/>
          <w:kern w:val="0"/>
          <w:sz w:val="24"/>
          <w:szCs w:val="24"/>
          <w:u w:val="none"/>
          <w:lang w:val="en-US" w:eastAsia="zh-CN" w:bidi="ar"/>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altName w:val="Arial Unicode MS"/>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F9041">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635BAA">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8635BAA">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C6108E"/>
    <w:multiLevelType w:val="singleLevel"/>
    <w:tmpl w:val="29C6108E"/>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hM2E5MDYwYmQ4MDQ2MzdmYzM5YjE1OGE2ZjBjMjYifQ=="/>
  </w:docVars>
  <w:rsids>
    <w:rsidRoot w:val="00000000"/>
    <w:rsid w:val="00771B65"/>
    <w:rsid w:val="036864C0"/>
    <w:rsid w:val="03D0119A"/>
    <w:rsid w:val="05882122"/>
    <w:rsid w:val="06421566"/>
    <w:rsid w:val="0A5C4E04"/>
    <w:rsid w:val="0A8C4462"/>
    <w:rsid w:val="0C3618C3"/>
    <w:rsid w:val="107929CE"/>
    <w:rsid w:val="12DD1C18"/>
    <w:rsid w:val="13562E6D"/>
    <w:rsid w:val="13D604FC"/>
    <w:rsid w:val="14E629C1"/>
    <w:rsid w:val="1AA17AB6"/>
    <w:rsid w:val="1C821C47"/>
    <w:rsid w:val="207D68CF"/>
    <w:rsid w:val="22737F8A"/>
    <w:rsid w:val="2C503D24"/>
    <w:rsid w:val="316104A9"/>
    <w:rsid w:val="335232C4"/>
    <w:rsid w:val="34E141C1"/>
    <w:rsid w:val="37E87AC5"/>
    <w:rsid w:val="42660B19"/>
    <w:rsid w:val="432D5ADB"/>
    <w:rsid w:val="43FB7987"/>
    <w:rsid w:val="45152B4E"/>
    <w:rsid w:val="45452D93"/>
    <w:rsid w:val="4BE07B8E"/>
    <w:rsid w:val="4C207D04"/>
    <w:rsid w:val="56357886"/>
    <w:rsid w:val="57413F38"/>
    <w:rsid w:val="58C6691E"/>
    <w:rsid w:val="5D096819"/>
    <w:rsid w:val="5DED613B"/>
    <w:rsid w:val="61B9240A"/>
    <w:rsid w:val="63E31B72"/>
    <w:rsid w:val="64194A1E"/>
    <w:rsid w:val="660C143C"/>
    <w:rsid w:val="66513F30"/>
    <w:rsid w:val="675F0116"/>
    <w:rsid w:val="69AA514E"/>
    <w:rsid w:val="6A983DCD"/>
    <w:rsid w:val="76FD6F97"/>
    <w:rsid w:val="77FD4DAF"/>
    <w:rsid w:val="7B8C08E9"/>
    <w:rsid w:val="7E542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spacing w:before="100" w:beforeAutospacing="1" w:after="0"/>
      <w:ind w:left="420" w:leftChars="200" w:firstLine="420" w:firstLineChars="200"/>
      <w:jc w:val="both"/>
    </w:pPr>
    <w:rPr>
      <w:rFonts w:ascii="Calibri" w:hAnsi="Calibri" w:eastAsia="宋体" w:cs="Times New Roman"/>
      <w:kern w:val="2"/>
      <w:sz w:val="21"/>
      <w:szCs w:val="24"/>
      <w:lang w:val="en-US" w:eastAsia="zh-CN" w:bidi="ar-SA"/>
    </w:rPr>
  </w:style>
  <w:style w:type="paragraph" w:styleId="5">
    <w:name w:val="Body Text"/>
    <w:basedOn w:val="1"/>
    <w:next w:val="6"/>
    <w:qFormat/>
    <w:uiPriority w:val="0"/>
    <w:pPr>
      <w:spacing w:after="120" w:afterLines="0" w:afterAutospacing="0"/>
    </w:pPr>
  </w:style>
  <w:style w:type="paragraph" w:styleId="6">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Times New Roman"/>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Emphasis"/>
    <w:basedOn w:val="12"/>
    <w:qFormat/>
    <w:uiPriority w:val="0"/>
    <w:rPr>
      <w:i/>
    </w:rPr>
  </w:style>
  <w:style w:type="character" w:styleId="15">
    <w:name w:val="Hyperlink"/>
    <w:basedOn w:val="12"/>
    <w:qFormat/>
    <w:uiPriority w:val="0"/>
    <w:rPr>
      <w:color w:val="0000FF"/>
      <w:u w:val="single"/>
    </w:rPr>
  </w:style>
  <w:style w:type="paragraph" w:customStyle="1" w:styleId="16">
    <w:name w:val="BodyText1I2"/>
    <w:qFormat/>
    <w:uiPriority w:val="0"/>
    <w:pPr>
      <w:widowControl w:val="0"/>
      <w:ind w:firstLine="420" w:firstLineChars="200"/>
      <w:jc w:val="both"/>
      <w:textAlignment w:val="baseline"/>
    </w:pPr>
    <w:rPr>
      <w:rFonts w:ascii="仿宋_GB2312" w:hAnsi="Times New Roman" w:eastAsia="仿宋_GB2312" w:cs="Times New Roman"/>
      <w:kern w:val="2"/>
      <w:sz w:val="32"/>
      <w:szCs w:val="24"/>
      <w:lang w:val="en-US" w:eastAsia="zh-CN" w:bidi="ar-SA"/>
    </w:rPr>
  </w:style>
  <w:style w:type="character" w:customStyle="1" w:styleId="17">
    <w:name w:val="font31"/>
    <w:basedOn w:val="12"/>
    <w:qFormat/>
    <w:uiPriority w:val="0"/>
    <w:rPr>
      <w:rFonts w:ascii="Calibri" w:hAnsi="Calibri" w:cs="Calibri"/>
      <w:color w:val="000000"/>
      <w:sz w:val="28"/>
      <w:szCs w:val="28"/>
      <w:u w:val="none"/>
    </w:rPr>
  </w:style>
  <w:style w:type="character" w:customStyle="1" w:styleId="18">
    <w:name w:val="font21"/>
    <w:basedOn w:val="12"/>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1475</Words>
  <Characters>1529</Characters>
  <Lines>0</Lines>
  <Paragraphs>0</Paragraphs>
  <TotalTime>0</TotalTime>
  <ScaleCrop>false</ScaleCrop>
  <LinksUpToDate>false</LinksUpToDate>
  <CharactersWithSpaces>1627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2025-02-18T06:22:00Z</dcterms:created>
  <dc:creator>302</dc:creator>
  <cp:lastModifiedBy>WPS_1593478802</cp:lastModifiedBy>
  <cp:lastPrinted>2025-04-24T06:04:00Z</cp:lastPrinted>
  <dcterms:modified xsi:type="dcterms:W3CDTF">2025-04-24T06:06:24Z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eyJoZGlkIjoiYzljNDZkNTUzMDZhN2Y2ZmFlNmI5NDQyMmI3YjFhMTYiLCJ1c2VySWQiOiIxMDI1MzcyODA2In0=</vt:lpwstr>
  </property>
  <property fmtid="{D5CDD505-2E9C-101B-9397-08002B2CF9AE}" pid="4" name="ICV">
    <vt:lpwstr>57C3E5782383415EA4CD4232331178A2_13</vt:lpwstr>
  </property>
</Properties>
</file>